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1951C" w14:textId="2CC007B8" w:rsidR="00B31CDB" w:rsidRPr="00B31CDB" w:rsidRDefault="00B31CDB" w:rsidP="00B31CDB">
      <w:pPr>
        <w:shd w:val="clear" w:color="auto" w:fill="FFFFFF"/>
        <w:tabs>
          <w:tab w:val="num" w:pos="720"/>
        </w:tabs>
        <w:spacing w:after="0" w:line="240" w:lineRule="atLeast"/>
        <w:ind w:hanging="360"/>
        <w:rPr>
          <w:color w:val="4472C4" w:themeColor="accent1"/>
        </w:rPr>
      </w:pPr>
      <w:r w:rsidRPr="00B31CDB">
        <w:rPr>
          <w:rStyle w:val="Strong"/>
          <w:rFonts w:ascii="Arial" w:hAnsi="Arial" w:cs="Arial"/>
          <w:color w:val="4472C4" w:themeColor="accent1"/>
          <w:sz w:val="42"/>
          <w:szCs w:val="42"/>
          <w:shd w:val="clear" w:color="auto" w:fill="FFFFFF"/>
        </w:rPr>
        <w:t>MM-EC1500RT2U</w:t>
      </w:r>
      <w:r w:rsidRPr="00B31CDB">
        <w:rPr>
          <w:rStyle w:val="Strong"/>
          <w:rFonts w:ascii="Arial" w:hAnsi="Arial" w:cs="Arial"/>
          <w:color w:val="4472C4" w:themeColor="accent1"/>
          <w:sz w:val="42"/>
          <w:szCs w:val="42"/>
          <w:shd w:val="clear" w:color="auto" w:fill="FFFFFF"/>
        </w:rPr>
        <w:t xml:space="preserve"> </w:t>
      </w:r>
      <w:r w:rsidRPr="00B31CDB">
        <w:rPr>
          <w:rStyle w:val="productidentity"/>
          <w:rFonts w:ascii="Arial" w:hAnsi="Arial" w:cs="Arial"/>
          <w:color w:val="4472C4" w:themeColor="accent1"/>
          <w:sz w:val="23"/>
          <w:szCs w:val="23"/>
          <w:shd w:val="clear" w:color="auto" w:fill="FFFFFF"/>
        </w:rPr>
        <w:t>ENCOMPASS UPS 1500 VA 1350 W</w:t>
      </w:r>
      <w:bookmarkStart w:id="0" w:name="_GoBack"/>
      <w:bookmarkEnd w:id="0"/>
    </w:p>
    <w:p w14:paraId="19564BCE" w14:textId="77777777" w:rsidR="00B31CDB" w:rsidRDefault="00B31CDB" w:rsidP="00B31CDB">
      <w:pPr>
        <w:shd w:val="clear" w:color="auto" w:fill="FFFFFF"/>
        <w:spacing w:after="0" w:line="240" w:lineRule="atLeast"/>
        <w:rPr>
          <w:rFonts w:ascii="Arial" w:eastAsia="Times New Roman" w:hAnsi="Arial" w:cs="Times New Roman"/>
          <w:color w:val="7C7D7D"/>
          <w:sz w:val="21"/>
          <w:szCs w:val="21"/>
        </w:rPr>
      </w:pPr>
    </w:p>
    <w:p w14:paraId="30CE714E" w14:textId="5D121256" w:rsidR="00B31CDB" w:rsidRPr="00B31CDB" w:rsidRDefault="00B31CDB" w:rsidP="00B31CDB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B31CDB">
        <w:rPr>
          <w:rFonts w:ascii="Arial" w:eastAsia="Times New Roman" w:hAnsi="Arial" w:cs="Times New Roman"/>
          <w:color w:val="7C7D7D"/>
          <w:sz w:val="21"/>
          <w:szCs w:val="21"/>
        </w:rPr>
        <w:t>1500VA/1350W 120 VAC true on-line, double-conversion, extended runtime rack/tower UPS designed for critical, power-sensitive electronic environments</w:t>
      </w:r>
    </w:p>
    <w:p w14:paraId="7ADD7946" w14:textId="77777777" w:rsidR="00B31CDB" w:rsidRPr="00B31CDB" w:rsidRDefault="00B31CDB" w:rsidP="00B31CDB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B31CDB">
        <w:rPr>
          <w:rFonts w:ascii="Arial" w:eastAsia="Times New Roman" w:hAnsi="Arial" w:cs="Times New Roman"/>
          <w:color w:val="7C7D7D"/>
          <w:sz w:val="21"/>
          <w:szCs w:val="21"/>
        </w:rPr>
        <w:t>True online, double-conversion technology</w:t>
      </w:r>
    </w:p>
    <w:p w14:paraId="1D827E9F" w14:textId="77777777" w:rsidR="00B31CDB" w:rsidRPr="00B31CDB" w:rsidRDefault="00B31CDB" w:rsidP="00B31CDB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B31CDB">
        <w:rPr>
          <w:rFonts w:ascii="Arial" w:eastAsia="Times New Roman" w:hAnsi="Arial" w:cs="Times New Roman"/>
          <w:color w:val="7C7D7D"/>
          <w:sz w:val="21"/>
          <w:szCs w:val="21"/>
        </w:rPr>
        <w:t>Compact case design, (only 2U for all models), for high density rack installations</w:t>
      </w:r>
    </w:p>
    <w:p w14:paraId="32406DE8" w14:textId="77777777" w:rsidR="00B31CDB" w:rsidRPr="00B31CDB" w:rsidRDefault="00B31CDB" w:rsidP="00B31CDB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B31CDB">
        <w:rPr>
          <w:rFonts w:ascii="Arial" w:eastAsia="Times New Roman" w:hAnsi="Arial" w:cs="Times New Roman"/>
          <w:color w:val="7C7D7D"/>
          <w:sz w:val="21"/>
          <w:szCs w:val="21"/>
        </w:rPr>
        <w:t>Flexible installation format: Rack/Tower</w:t>
      </w:r>
    </w:p>
    <w:p w14:paraId="6CC53672" w14:textId="77777777" w:rsidR="00B31CDB" w:rsidRPr="00B31CDB" w:rsidRDefault="00B31CDB" w:rsidP="00B31CDB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B31CDB">
        <w:rPr>
          <w:rFonts w:ascii="Arial" w:eastAsia="Times New Roman" w:hAnsi="Arial" w:cs="Times New Roman"/>
          <w:color w:val="7C7D7D"/>
          <w:sz w:val="21"/>
          <w:szCs w:val="21"/>
        </w:rPr>
        <w:t>Rackmount ears come attached to UPS</w:t>
      </w:r>
    </w:p>
    <w:p w14:paraId="64C69318" w14:textId="77777777" w:rsidR="00B31CDB" w:rsidRPr="00B31CDB" w:rsidRDefault="00B31CDB" w:rsidP="00B31CDB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B31CDB">
        <w:rPr>
          <w:rFonts w:ascii="Arial" w:eastAsia="Times New Roman" w:hAnsi="Arial" w:cs="Times New Roman"/>
          <w:color w:val="7C7D7D"/>
          <w:sz w:val="21"/>
          <w:szCs w:val="21"/>
        </w:rPr>
        <w:t>Easy-to-read LCD display</w:t>
      </w:r>
    </w:p>
    <w:p w14:paraId="3105FE46" w14:textId="77777777" w:rsidR="00B31CDB" w:rsidRPr="00B31CDB" w:rsidRDefault="00B31CDB" w:rsidP="00B31CDB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B31CDB">
        <w:rPr>
          <w:rFonts w:ascii="Arial" w:eastAsia="Times New Roman" w:hAnsi="Arial" w:cs="Times New Roman"/>
          <w:color w:val="7C7D7D"/>
          <w:sz w:val="21"/>
          <w:szCs w:val="21"/>
        </w:rPr>
        <w:t>0.9 output power factor</w:t>
      </w:r>
    </w:p>
    <w:p w14:paraId="4DF89540" w14:textId="77777777" w:rsidR="00B31CDB" w:rsidRPr="00B31CDB" w:rsidRDefault="00B31CDB" w:rsidP="00B31CDB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B31CDB">
        <w:rPr>
          <w:rFonts w:ascii="Arial" w:eastAsia="Times New Roman" w:hAnsi="Arial" w:cs="Times New Roman"/>
          <w:color w:val="7C7D7D"/>
          <w:sz w:val="21"/>
          <w:szCs w:val="21"/>
        </w:rPr>
        <w:t>Highly-efficient, Economy Mode option</w:t>
      </w:r>
    </w:p>
    <w:p w14:paraId="54829F93" w14:textId="77777777" w:rsidR="00B31CDB" w:rsidRPr="00B31CDB" w:rsidRDefault="00B31CDB" w:rsidP="00B31CDB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B31CDB">
        <w:rPr>
          <w:rFonts w:ascii="Arial" w:eastAsia="Times New Roman" w:hAnsi="Arial" w:cs="Times New Roman"/>
          <w:color w:val="7C7D7D"/>
          <w:sz w:val="21"/>
          <w:szCs w:val="21"/>
        </w:rPr>
        <w:t>Output receptacle control with 2 banks</w:t>
      </w:r>
    </w:p>
    <w:p w14:paraId="3230B6C0" w14:textId="77777777" w:rsidR="00B31CDB" w:rsidRPr="00B31CDB" w:rsidRDefault="00B31CDB" w:rsidP="00B31CDB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B31CDB">
        <w:rPr>
          <w:rFonts w:ascii="Arial" w:eastAsia="Times New Roman" w:hAnsi="Arial" w:cs="Times New Roman"/>
          <w:color w:val="7C7D7D"/>
          <w:sz w:val="21"/>
          <w:szCs w:val="21"/>
        </w:rPr>
        <w:t>Independent Battery Bypass – allows the UPS to provide voltage regulation and spike/surge protection either with dead batteries or without batteries</w:t>
      </w:r>
    </w:p>
    <w:p w14:paraId="11DFB041" w14:textId="77777777" w:rsidR="00B31CDB" w:rsidRPr="00B31CDB" w:rsidRDefault="00B31CDB" w:rsidP="00B31CDB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B31CDB">
        <w:rPr>
          <w:rFonts w:ascii="Arial" w:eastAsia="Times New Roman" w:hAnsi="Arial" w:cs="Times New Roman"/>
          <w:color w:val="7C7D7D"/>
          <w:sz w:val="21"/>
          <w:szCs w:val="21"/>
        </w:rPr>
        <w:t>Hot-swappable battery replacement</w:t>
      </w:r>
    </w:p>
    <w:p w14:paraId="4D79728C" w14:textId="77777777" w:rsidR="00B31CDB" w:rsidRPr="00B31CDB" w:rsidRDefault="00B31CDB" w:rsidP="00B31CDB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B31CDB">
        <w:rPr>
          <w:rFonts w:ascii="Arial" w:eastAsia="Times New Roman" w:hAnsi="Arial" w:cs="Times New Roman"/>
          <w:color w:val="7C7D7D"/>
          <w:sz w:val="21"/>
          <w:szCs w:val="21"/>
        </w:rPr>
        <w:t>Cold Start capable</w:t>
      </w:r>
    </w:p>
    <w:p w14:paraId="472C42E5" w14:textId="77777777" w:rsidR="00B31CDB" w:rsidRPr="00B31CDB" w:rsidRDefault="00B31CDB" w:rsidP="00B31CDB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B31CDB">
        <w:rPr>
          <w:rFonts w:ascii="Arial" w:eastAsia="Times New Roman" w:hAnsi="Arial" w:cs="Times New Roman"/>
          <w:color w:val="7C7D7D"/>
          <w:sz w:val="21"/>
          <w:szCs w:val="21"/>
        </w:rPr>
        <w:t>Automatic internal bypass</w:t>
      </w:r>
    </w:p>
    <w:p w14:paraId="080F2376" w14:textId="77777777" w:rsidR="00B31CDB" w:rsidRPr="00B31CDB" w:rsidRDefault="00B31CDB" w:rsidP="00B31CDB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B31CDB">
        <w:rPr>
          <w:rFonts w:ascii="Arial" w:eastAsia="Times New Roman" w:hAnsi="Arial" w:cs="Times New Roman"/>
          <w:color w:val="7C7D7D"/>
          <w:sz w:val="21"/>
          <w:szCs w:val="21"/>
        </w:rPr>
        <w:t>Simultaneous USB and RS232 communications</w:t>
      </w:r>
    </w:p>
    <w:p w14:paraId="47D0184B" w14:textId="77777777" w:rsidR="00B31CDB" w:rsidRPr="00B31CDB" w:rsidRDefault="00B31CDB" w:rsidP="00B31CDB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B31CDB">
        <w:rPr>
          <w:rFonts w:ascii="Arial" w:eastAsia="Times New Roman" w:hAnsi="Arial" w:cs="Times New Roman"/>
          <w:color w:val="7C7D7D"/>
          <w:sz w:val="21"/>
          <w:szCs w:val="21"/>
        </w:rPr>
        <w:t xml:space="preserve">Compatible with Minuteman’s </w:t>
      </w:r>
      <w:proofErr w:type="spellStart"/>
      <w:r w:rsidRPr="00B31CDB">
        <w:rPr>
          <w:rFonts w:ascii="Arial" w:eastAsia="Times New Roman" w:hAnsi="Arial" w:cs="Times New Roman"/>
          <w:color w:val="7C7D7D"/>
          <w:sz w:val="21"/>
          <w:szCs w:val="21"/>
        </w:rPr>
        <w:t>SentryHD</w:t>
      </w:r>
      <w:proofErr w:type="spellEnd"/>
      <w:r w:rsidRPr="00B31CDB">
        <w:rPr>
          <w:rFonts w:ascii="Arial" w:eastAsia="Times New Roman" w:hAnsi="Arial" w:cs="Times New Roman"/>
          <w:color w:val="7C7D7D"/>
          <w:sz w:val="21"/>
          <w:szCs w:val="21"/>
        </w:rPr>
        <w:t xml:space="preserve"> software</w:t>
      </w:r>
    </w:p>
    <w:p w14:paraId="1540D874" w14:textId="77777777" w:rsidR="00B31CDB" w:rsidRPr="00B31CDB" w:rsidRDefault="00B31CDB" w:rsidP="00B31CDB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B31CDB">
        <w:rPr>
          <w:rFonts w:ascii="Arial" w:eastAsia="Times New Roman" w:hAnsi="Arial" w:cs="Times New Roman"/>
          <w:color w:val="7C7D7D"/>
          <w:sz w:val="21"/>
          <w:szCs w:val="21"/>
        </w:rPr>
        <w:t>SNMP compatible (with optional card)</w:t>
      </w:r>
    </w:p>
    <w:p w14:paraId="73BCA07F" w14:textId="77777777" w:rsidR="00B31CDB" w:rsidRPr="00B31CDB" w:rsidRDefault="00B31CDB" w:rsidP="00B31CDB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B31CDB">
        <w:rPr>
          <w:rFonts w:ascii="Arial" w:eastAsia="Times New Roman" w:hAnsi="Arial" w:cs="Times New Roman"/>
          <w:color w:val="7C7D7D"/>
          <w:sz w:val="21"/>
          <w:szCs w:val="21"/>
        </w:rPr>
        <w:t>Dedicated EPO port</w:t>
      </w:r>
    </w:p>
    <w:p w14:paraId="2666177B" w14:textId="77777777" w:rsidR="00B31CDB" w:rsidRPr="00B31CDB" w:rsidRDefault="00B31CDB" w:rsidP="00B31CDB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B31CDB">
        <w:rPr>
          <w:rFonts w:ascii="Arial" w:eastAsia="Times New Roman" w:hAnsi="Arial" w:cs="Times New Roman"/>
          <w:color w:val="7C7D7D"/>
          <w:sz w:val="21"/>
          <w:szCs w:val="21"/>
        </w:rPr>
        <w:t>Tool-less battery replacement design</w:t>
      </w:r>
    </w:p>
    <w:p w14:paraId="359FA087" w14:textId="77777777" w:rsidR="00B31CDB" w:rsidRPr="00B31CDB" w:rsidRDefault="00B31CDB" w:rsidP="00B31CDB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B31CDB">
        <w:rPr>
          <w:rFonts w:ascii="Arial" w:eastAsia="Times New Roman" w:hAnsi="Arial" w:cs="Times New Roman"/>
          <w:color w:val="7C7D7D"/>
          <w:sz w:val="21"/>
          <w:szCs w:val="21"/>
        </w:rPr>
        <w:t>1Gbit RJ45 network protection</w:t>
      </w:r>
    </w:p>
    <w:p w14:paraId="47DE2286" w14:textId="77777777" w:rsidR="00B31CDB" w:rsidRPr="00B31CDB" w:rsidRDefault="00B31CDB" w:rsidP="00B31CDB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B31CDB">
        <w:rPr>
          <w:rFonts w:ascii="Arial" w:eastAsia="Times New Roman" w:hAnsi="Arial" w:cs="Times New Roman"/>
          <w:color w:val="7C7D7D"/>
          <w:sz w:val="21"/>
          <w:szCs w:val="21"/>
        </w:rPr>
        <w:t>Full three-year warranty (including batteries)</w:t>
      </w:r>
    </w:p>
    <w:p w14:paraId="2FDF5376" w14:textId="77777777" w:rsidR="00B31CDB" w:rsidRPr="00B31CDB" w:rsidRDefault="00B31CDB" w:rsidP="00B31CDB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B31CDB">
        <w:rPr>
          <w:rFonts w:ascii="Arial" w:eastAsia="Times New Roman" w:hAnsi="Arial" w:cs="Times New Roman"/>
          <w:color w:val="7C7D7D"/>
          <w:sz w:val="21"/>
          <w:szCs w:val="21"/>
        </w:rPr>
        <w:t>Green UPS design (RoHS and Energy Star compliant)</w:t>
      </w:r>
    </w:p>
    <w:p w14:paraId="78367926" w14:textId="77777777" w:rsidR="00B31CDB" w:rsidRDefault="00B31CDB"/>
    <w:sectPr w:rsidR="00B31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BF6E89"/>
    <w:multiLevelType w:val="multilevel"/>
    <w:tmpl w:val="BBA8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CDB"/>
    <w:rsid w:val="00B3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95983"/>
  <w15:chartTrackingRefBased/>
  <w15:docId w15:val="{BDDC560A-2E8B-4B92-BB10-C4D020539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31CDB"/>
    <w:rPr>
      <w:b/>
      <w:bCs/>
    </w:rPr>
  </w:style>
  <w:style w:type="character" w:customStyle="1" w:styleId="productidentity">
    <w:name w:val="product_identity"/>
    <w:basedOn w:val="DefaultParagraphFont"/>
    <w:rsid w:val="00B31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Brown</dc:creator>
  <cp:keywords/>
  <dc:description/>
  <cp:lastModifiedBy>L Brown</cp:lastModifiedBy>
  <cp:revision>1</cp:revision>
  <dcterms:created xsi:type="dcterms:W3CDTF">2018-09-20T18:14:00Z</dcterms:created>
  <dcterms:modified xsi:type="dcterms:W3CDTF">2018-09-20T18:15:00Z</dcterms:modified>
</cp:coreProperties>
</file>